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Transport Safety Hazard Register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Record activities, assess operational risks and assign controls. Adapt to your operation and retain supporting evidence. Identify the task and people who influence it; assess foreseeable harm using an agreed risk method; select practical controls; assign an owner and deadline; verify effectiveness after implementation. Use the XLSX register for multiple hazards and calculated risk prioritisation.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English · CoR Australia branded · editable for your operation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Organisation: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Owner: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Review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Depot / business unit: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Activity and duty-holder scope: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Risk assessment method / matrix: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Consulted roles: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Register version / approval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Document version: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Prepared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Approved by / date: 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Next review / change trigger: __________________________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tblHeader/>
        </w:trPr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Control / verification prompt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Status, evidence and action record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1. Activity / duty holder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2. Hazard and causes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 Potential harm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4. Existing controls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5. Risk rating and method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6. Further action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7. Action owner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8. Due date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9. Evidence reference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10. Review outcome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11. Record the specific transport activity, location and operating conditions, including peak periods and foreseeable disruptions.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12. Identify executives and off-road parties able to influence scheduling, loading, contracts, facilities or vehicle condition.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13. Consider normal operations, changes, contractors, incidents and reasonably foreseeable abnormal conditions.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14. Assess speed pressure from delivery windows, incentives and penalties; check that realistic transit time and delays are allowed.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15. Assess fatigue exposure from work patterns, loading queues, secondary work and available rest arrangements.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16. Assess gross and axle mass, dimensions, restraint compatibility, loading sequence and route/access restrictions.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17. Assess vehicle defects, maintenance deferrals, inspection quality and release-to-service controls.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18. Record likelihood and consequence definitions and reasons for the initial risk assessment; avoid unsupported numerical ratings.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19. Consider elimination or redesign before relying only on procedures, training or individual behaviour.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20. Document residual risk after proposed controls and the authorised person who accepts or escalates it.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21. Verify controls with observations, work records and worker feedback; record who checked them and the result.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22. Reassess after a route, load, contract, equipment, work-pattern or legal-guidance change; escalate overdue actions.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Status: Yes / Gap / N/A: __________________
Evidence / reference: __________________
Action / owner / due: __________________
Verified by / date: __________________</w:t>
            </w:r>
          </w:p>
        </w:tc>
      </w:tr>
    </w:tbl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Working register — add rows as required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44"/>
        <w:gridCol w:w="1744"/>
        <w:gridCol w:w="1744"/>
        <w:gridCol w:w="1744"/>
        <w:gridCol w:w="1744"/>
        <w:gridCol w:w="1744"/>
      </w:tblGrid>
      <w:tr>
        <w:trPr>
          <w:tblHeader/>
        </w:trPr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Ref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Hazard / defect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Control / work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Owner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Due date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/>
                <w:bCs/>
                <w:sz w:val="28"/>
                <w:szCs w:val="28"/>
              </w:rPr>
              <w:t xml:space="preserve">Status / evidence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  <w:tr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  <w:tc>
          <w:p>
            <w:pPr>
              <w:spacing w:after="150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________________
________________</w:t>
            </w:r>
          </w:p>
        </w:tc>
      </w:tr>
    </w:tbl>
    <w:p>
      <w:pPr>
        <w:spacing w:after="15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Corrective-action close-out and review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Outstanding actions / interim controls: ______________________________________
Verification evidence / reviewer / date: ______________________________________
Approval / next review: ______________________________________</w:t>
      </w:r>
    </w:p>
    <w:p>
      <w:pPr>
        <w:spacing w:after="150"/>
      </w:pPr>
      <w:r>
        <w:rPr>
          <w:rFonts w:ascii="Calibri" w:cs="Calibri" w:eastAsia="Calibri" w:hAnsi="Calibri"/>
          <w:b w:val="false"/>
          <w:bCs w:val="false"/>
          <w:sz w:val="20"/>
          <w:szCs w:val="20"/>
        </w:rPr>
        <w:t xml:space="preserve">CoR Australia | 1300 886 092 | info@chainofresponsibility.au | www.chainofresponsibility.au
Independent 2026 NHVR Master Code implementation template. The NHVR Code is guidance on the existing HVNL Primary Duty; it creates no new legal obligations. Adapt and verify before use. Not an NHVR form, audit certificate or proof of compliance. Source: https://www.nhvr.gov.au/files/media/document/836/ricp-master-code-2026.pdf</w:t>
      </w:r>
    </w:p>
    <w:sectPr>
      <w:headerReference w:type="default" r:id="rId6"/>
      <w:footerReference w:type="default" r:id="rId7"/>
      <w:pgSz w:w="11906" w:h="16838" w:orient="portrait"/>
      <w:pgMar w:top="2160" w:right="720" w:bottom="108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4"/>
        <w:szCs w:val="14"/>
      </w:rPr>
      <w:t xml:space="preserve">CoR Australia | Independent NHVR Master Code implementation resource | Page </w:t>
    </w:r>
    <w:r>
      <w:rPr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drawing>
        <wp:inline distT="0" distB="0" distL="0" distR="0">
          <wp:extent cx="1238250" cy="552450"/>
          <wp:effectExtent t="0" r="0" b="0" l="0"/>
          <wp:docPr id="6" name="CoR Australia" descr="CoR Australia company logo" title="CoR Austr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color w:val="334155"/>
        <w:sz w:val="16"/>
        <w:szCs w:val="16"/>
      </w:rPr>
      <w:t xml:space="preserve">1300 886 092 | info@chainofresponsibility.au | www.chainofresponsibility.au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781e99a04364642a7f7bcc16271c01712f145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Safety Hazard Register</dc:title>
  <dc:creator>CoR Australia</dc:creator>
  <cp:lastModifiedBy>Un-named</cp:lastModifiedBy>
  <cp:revision>1</cp:revision>
  <dcterms:created xsi:type="dcterms:W3CDTF">2026-10-15T23:55:04.080Z</dcterms:created>
  <dcterms:modified xsi:type="dcterms:W3CDTF">2026-10-15T23:55:04.080Z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