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5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Fit-for-Duty Check &amp; Escalation Record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A proportionate discussion prompt, not a medical assessment. Avoid unnecessary sensitive health information. Escalate concerns confidentially. Use before the relevant shift/task and whenever circumstances change. A concern must trigger a safe decision and confidential escalation, not a tick-box clearance. This record does not replace statutory work/rest records or medical advice.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English · CoR Australia branded · editable for your operation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Date / shift: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Worker / supervisor: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Task / vehicle: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Organisation / site: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Start time / planned finish: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Applicable work/rest arrangement: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Responsible decision-maker: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Safe alternative agreed: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Follow-up time: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Worker acknowledgement / date: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Supervisor decision / date: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Document version: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Prepared by / date: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Approved by / date: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Next review / change trigger: __________________________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rPr>
          <w:tblHeader/>
        </w:trPr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Control / verification prompt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Status, evidence and action record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1. Adequate opportunity for rest considered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2. Current alertness and fatigue concerns discussed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3. Applicable work/rest checks completed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4. Health or medication concerns referred appropriately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5. Secondary work / travel relevant to fatigue considered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6. Unsafe to proceed? Pause and notify the responsible person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7. Action / alternative arrangements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8. Review before return to task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9. Confirm the actual task, planned duration, driving exposure and foreseeable queuing or delay conditions.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10. Check work/rest records relevant to the applicable arrangement; resolve discrepancies before relying on them.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11. Discuss recent rest opportunity and alertness without requesting diagnoses or unnecessary medical detail.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12. Consider the effect of commuting, second jobs, unexpected delays and a changed roster on the planned task.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13. Ask whether the worker feels able to perform safely; provide a confidential route for concerns.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14. If medications or health concerns are raised, refer appropriately and record only the operational decision and authorised follow-up.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15. Record a proceed, modify, defer or stop decision and the person authorised to make it.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16. Arrange a safe alternative such as changed duties, rescheduling or suitable rest; do not allow the form to override a safety concern.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17. Notify scheduling/dispatch of the operational change without sharing unnecessary health information.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18. Set a reassessment time and the conditions required before returning to the original task.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19. Escalate repeated fatigue indicators or scheduling pressures for system-level investigation.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20. Store completed records with restricted access under the organisation's privacy and retention procedures.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</w:tbl>
    <w:p>
      <w:pPr>
        <w:spacing w:after="15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Corrective-action close-out and review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Outstanding actions / interim controls: ______________________________________
Verification evidence / reviewer / date: ______________________________________
Approval / next review: ______________________________________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CoR Australia | 1300 886 092 | info@chainofresponsibility.au | www.chainofresponsibility.au
Independent 2026 NHVR Master Code implementation template. The NHVR Code is guidance on the existing HVNL Primary Duty; it creates no new legal obligations. Adapt and verify before use. Not an NHVR form, audit certificate or proof of compliance. Source: https://www.nhvr.gov.au/files/media/document/836/ricp-master-code-2026.pdf</w:t>
      </w:r>
    </w:p>
    <w:sectPr>
      <w:headerReference w:type="default" r:id="rId6"/>
      <w:footerReference w:type="default" r:id="rId7"/>
      <w:pgSz w:w="11906" w:h="16838" w:orient="portrait"/>
      <w:pgMar w:top="2160" w:right="720" w:bottom="1080" w:left="720" w:header="360" w:footer="3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4"/>
        <w:szCs w:val="14"/>
      </w:rPr>
      <w:t xml:space="preserve">CoR Australia | Independent NHVR Master Code implementation resource | Page </w:t>
    </w:r>
    <w:r>
      <w:rPr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  <w:r>
      <w:drawing>
        <wp:inline distT="0" distB="0" distL="0" distR="0">
          <wp:extent cx="1238250" cy="552450"/>
          <wp:effectExtent t="0" r="0" b="0" l="0"/>
          <wp:docPr id="9" name="CoR Australia" descr="CoR Australia company logo" title="CoR Austral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/>
    </w:pPr>
    <w:r>
      <w:rPr>
        <w:color w:val="334155"/>
        <w:sz w:val="16"/>
        <w:szCs w:val="16"/>
      </w:rPr>
      <w:t xml:space="preserve">1300 886 092 | info@chainofresponsibility.au | www.chainofresponsibility.au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781e99a04364642a7f7bcc16271c01712f145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Fit-for-Duty Check &amp; Escalation Record</dc:title>
  <dc:creator>CoR Australia</dc:creator>
  <cp:lastModifiedBy>Un-named</cp:lastModifiedBy>
  <cp:revision>1</cp:revision>
  <dcterms:created xsi:type="dcterms:W3CDTF">2026-10-15T23:55:57.368Z</dcterms:created>
  <dcterms:modified xsi:type="dcterms:W3CDTF">2026-10-15T23:55:57.368Z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